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ITC Zapf Chancery" w:cs="ITC Zapf Chancery" w:eastAsia="ITC Zapf Chancery" w:hAnsi="ITC Zapf Chancery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ITC Zapf Chancery" w:cs="ITC Zapf Chancery" w:eastAsia="ITC Zapf Chancery" w:hAnsi="ITC Zapf Chancery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Profil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ITC Zapf Chancery" w:cs="ITC Zapf Chancery" w:eastAsia="ITC Zapf Chancery" w:hAnsi="ITC Zapf Chancery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Aptitudes pour le dessin, la photog</w:t>
      </w: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raphie,</w:t>
      </w: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les arts en général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Intérêt pour la science et l’époque médiévale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Très travaillant, érudit, sérieux, appliqué, </w:t>
      </w: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débrouillard</w:t>
      </w: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méthodique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Excellente culture générale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ITC Zapf Chancery" w:cs="ITC Zapf Chancery" w:eastAsia="ITC Zapf Chancery" w:hAnsi="ITC Zapf Chancery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ITC Zapf Chancery" w:cs="ITC Zapf Chancery" w:eastAsia="ITC Zapf Chancery" w:hAnsi="ITC Zapf Chancery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Formation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Études professionnelles en Carrosserie Automobile</w:t>
        <w:tab/>
        <w:t xml:space="preserve">2011-2012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Gentium Basic" w:cs="Gentium Basic" w:eastAsia="Gentium Basic" w:hAnsi="Gentium Basic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Centre de Formation Professionnelle 24-Juin, </w:t>
      </w:r>
      <w:r w:rsidDel="00000000" w:rsidR="00000000" w:rsidRPr="00000000">
        <w:rPr>
          <w:rFonts w:ascii="Gentium Basic" w:cs="Gentium Basic" w:eastAsia="Gentium Basic" w:hAnsi="Gentium Basic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Sherbrooke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Diplôme d’études secondaires</w:t>
        <w:tab/>
        <w:t xml:space="preserve">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Gentium Basic" w:cs="Gentium Basic" w:eastAsia="Gentium Basic" w:hAnsi="Gentium Basic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École secondaire Régionale de Richmond, </w:t>
      </w:r>
      <w:r w:rsidDel="00000000" w:rsidR="00000000" w:rsidRPr="00000000">
        <w:rPr>
          <w:rFonts w:ascii="Gentium Basic" w:cs="Gentium Basic" w:eastAsia="Gentium Basic" w:hAnsi="Gentium Basic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Richmond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ITC Zapf Chancery" w:cs="ITC Zapf Chancery" w:eastAsia="ITC Zapf Chancery" w:hAnsi="ITC Zapf Chancery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ITC Zapf Chancery" w:cs="ITC Zapf Chancery" w:eastAsia="ITC Zapf Chancery" w:hAnsi="ITC Zapf Chancery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Expérience de travail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240" w:lineRule="auto"/>
        <w:ind w:left="0" w:right="0" w:firstLine="0"/>
        <w:rPr>
          <w:rFonts w:ascii="Gentium Basic" w:cs="Gentium Basic" w:eastAsia="Gentium Basic" w:hAnsi="Gentium Basic"/>
          <w:b w:val="1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rtl w:val="0"/>
        </w:rPr>
        <w:t xml:space="preserve">Sableur de moules d’injection </w:t>
        <w:tab/>
        <w:t xml:space="preserve">2020-Présent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240" w:lineRule="auto"/>
        <w:ind w:left="0" w:right="0" w:firstLine="0"/>
        <w:rPr>
          <w:rFonts w:ascii="Gentium Basic" w:cs="Gentium Basic" w:eastAsia="Gentium Basic" w:hAnsi="Gentium Basic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rtl w:val="0"/>
        </w:rPr>
        <w:t xml:space="preserve"> Groupe PPD, </w:t>
      </w: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Waterville</w:t>
      </w:r>
    </w:p>
    <w:p w:rsidR="00000000" w:rsidDel="00000000" w:rsidP="00000000" w:rsidRDefault="00000000" w:rsidRPr="00000000" w14:paraId="00000016">
      <w:pPr>
        <w:widowControl w:val="1"/>
        <w:tabs>
          <w:tab w:val="right" w:leader="none" w:pos="8640"/>
        </w:tabs>
        <w:rPr>
          <w:rFonts w:ascii="Gentium Basic" w:cs="Gentium Basic" w:eastAsia="Gentium Basic" w:hAnsi="Gentium Basic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3"/>
        </w:numPr>
        <w:ind w:left="709"/>
        <w:rPr>
          <w:rFonts w:ascii="Gentium Basic" w:cs="Gentium Basic" w:eastAsia="Gentium Basic" w:hAnsi="Gentium Basic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Sabler des moules fait en acier ou en aluminium pour enlever les marques d’usinage, soit à la main ou avec l’aide d'outils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3"/>
        </w:numPr>
        <w:ind w:left="709"/>
        <w:rPr>
          <w:rFonts w:ascii="Gentium Basic" w:cs="Gentium Basic" w:eastAsia="Gentium Basic" w:hAnsi="Gentium Basic"/>
          <w:u w:val="none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Corriger les soudures et autres difformités présente dans le moule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3"/>
        </w:numPr>
        <w:ind w:left="709"/>
        <w:rPr>
          <w:rFonts w:ascii="Gentium Basic" w:cs="Gentium Basic" w:eastAsia="Gentium Basic" w:hAnsi="Gentium Basic"/>
          <w:u w:val="none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Garder l’inventaire des pierres, pâtes, pads, papiers de sablage et autres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3"/>
        </w:numPr>
        <w:ind w:left="709"/>
        <w:rPr>
          <w:rFonts w:ascii="Gentium Basic" w:cs="Gentium Basic" w:eastAsia="Gentium Basic" w:hAnsi="Gentium Basic"/>
          <w:u w:val="none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Façonner des outils, bâtons et blocs pour sabler divers surface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3"/>
        </w:numPr>
        <w:ind w:left="709"/>
        <w:rPr>
          <w:rFonts w:ascii="Gentium Basic" w:cs="Gentium Basic" w:eastAsia="Gentium Basic" w:hAnsi="Gentium Basic"/>
          <w:u w:val="none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Utiliser un pont levant ou un chariot élévateur pour manier les moules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240" w:lineRule="auto"/>
        <w:ind w:left="0" w:right="0" w:firstLine="0"/>
        <w:rPr>
          <w:rFonts w:ascii="Gentium Basic" w:cs="Gentium Basic" w:eastAsia="Gentium Basic" w:hAnsi="Gentium Bas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240" w:lineRule="auto"/>
        <w:ind w:left="0" w:right="0" w:firstLine="0"/>
        <w:rPr>
          <w:rFonts w:ascii="Gentium Basic" w:cs="Gentium Basic" w:eastAsia="Gentium Basic" w:hAnsi="Gentium Basic"/>
          <w:b w:val="1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rtl w:val="0"/>
        </w:rPr>
        <w:t xml:space="preserve">Journalier de moules plastiques</w:t>
        <w:tab/>
        <w:t xml:space="preserve">2019-2020</w:t>
      </w:r>
    </w:p>
    <w:p w:rsidR="00000000" w:rsidDel="00000000" w:rsidP="00000000" w:rsidRDefault="00000000" w:rsidRPr="00000000" w14:paraId="0000001E">
      <w:pPr>
        <w:pageBreakBefore w:val="0"/>
        <w:widowControl w:val="1"/>
        <w:tabs>
          <w:tab w:val="right" w:leader="none" w:pos="8640"/>
        </w:tabs>
        <w:rPr>
          <w:rFonts w:ascii="Gentium Basic" w:cs="Gentium Basic" w:eastAsia="Gentium Basic" w:hAnsi="Gentium Basic"/>
          <w:i w:val="1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rtl w:val="0"/>
        </w:rPr>
        <w:t xml:space="preserve"> Groupe PPD</w:t>
      </w: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, Waterville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1"/>
        <w:tabs>
          <w:tab w:val="right" w:leader="none" w:pos="8640"/>
        </w:tabs>
        <w:rPr>
          <w:rFonts w:ascii="Gentium Basic" w:cs="Gentium Basic" w:eastAsia="Gentium Basic" w:hAnsi="Gentium Basic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1"/>
        <w:numPr>
          <w:ilvl w:val="0"/>
          <w:numId w:val="3"/>
        </w:numPr>
        <w:ind w:left="709"/>
        <w:rPr>
          <w:rFonts w:ascii="Gentium Basic" w:cs="Gentium Basic" w:eastAsia="Gentium Basic" w:hAnsi="Gentium Basic"/>
          <w:u w:val="none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Enlever les bavures à l'aide d'un exacto, pinces ou  d'une torche</w:t>
      </w:r>
    </w:p>
    <w:p w:rsidR="00000000" w:rsidDel="00000000" w:rsidP="00000000" w:rsidRDefault="00000000" w:rsidRPr="00000000" w14:paraId="00000021">
      <w:pPr>
        <w:pageBreakBefore w:val="0"/>
        <w:widowControl w:val="1"/>
        <w:numPr>
          <w:ilvl w:val="0"/>
          <w:numId w:val="3"/>
        </w:num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Assurer la qualité des pièces produites de différents types de plastiques</w:t>
      </w:r>
    </w:p>
    <w:p w:rsidR="00000000" w:rsidDel="00000000" w:rsidP="00000000" w:rsidRDefault="00000000" w:rsidRPr="00000000" w14:paraId="00000022">
      <w:pPr>
        <w:pageBreakBefore w:val="0"/>
        <w:widowControl w:val="1"/>
        <w:numPr>
          <w:ilvl w:val="0"/>
          <w:numId w:val="3"/>
        </w:numPr>
        <w:ind w:left="709"/>
        <w:rPr>
          <w:rFonts w:ascii="Gentium Basic" w:cs="Gentium Basic" w:eastAsia="Gentium Basic" w:hAnsi="Gentium Basic"/>
          <w:u w:val="none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Emballer les pièces selon les instructions pour être prêt pour la livraison ou la prochaine étape de chaîne de montage</w:t>
      </w:r>
    </w:p>
    <w:p w:rsidR="00000000" w:rsidDel="00000000" w:rsidP="00000000" w:rsidRDefault="00000000" w:rsidRPr="00000000" w14:paraId="00000023">
      <w:pPr>
        <w:pageBreakBefore w:val="0"/>
        <w:widowControl w:val="1"/>
        <w:numPr>
          <w:ilvl w:val="0"/>
          <w:numId w:val="3"/>
        </w:numPr>
        <w:ind w:left="709"/>
        <w:rPr>
          <w:rFonts w:ascii="Gentium Basic" w:cs="Gentium Basic" w:eastAsia="Gentium Basic" w:hAnsi="Gentium Basic"/>
          <w:u w:val="none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Opérer une presse pour insérer les pièces à coller et les retirer une fois complété</w:t>
      </w:r>
    </w:p>
    <w:p w:rsidR="00000000" w:rsidDel="00000000" w:rsidP="00000000" w:rsidRDefault="00000000" w:rsidRPr="00000000" w14:paraId="00000024">
      <w:pPr>
        <w:pageBreakBefore w:val="0"/>
        <w:widowControl w:val="1"/>
        <w:numPr>
          <w:ilvl w:val="0"/>
          <w:numId w:val="3"/>
        </w:numPr>
        <w:ind w:left="709"/>
        <w:rPr>
          <w:rFonts w:ascii="Gentium Basic" w:cs="Gentium Basic" w:eastAsia="Gentium Basic" w:hAnsi="Gentium Basic"/>
          <w:u w:val="none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Opérer une presse pour exposer les éléments chauffants pour les nettoyer</w:t>
      </w:r>
    </w:p>
    <w:p w:rsidR="00000000" w:rsidDel="00000000" w:rsidP="00000000" w:rsidRDefault="00000000" w:rsidRPr="00000000" w14:paraId="00000025">
      <w:pPr>
        <w:pageBreakBefore w:val="0"/>
        <w:widowControl w:val="1"/>
        <w:numPr>
          <w:ilvl w:val="0"/>
          <w:numId w:val="3"/>
        </w:numPr>
        <w:ind w:left="709"/>
        <w:rPr>
          <w:rFonts w:ascii="Gentium Basic" w:cs="Gentium Basic" w:eastAsia="Gentium Basic" w:hAnsi="Gentium Basic"/>
          <w:u w:val="none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Nettoyer la station de travail et maintenir un espace de travail dégagé</w:t>
      </w:r>
    </w:p>
    <w:p w:rsidR="00000000" w:rsidDel="00000000" w:rsidP="00000000" w:rsidRDefault="00000000" w:rsidRPr="00000000" w14:paraId="00000026">
      <w:pPr>
        <w:pageBreakBefore w:val="0"/>
        <w:widowControl w:val="1"/>
        <w:rPr>
          <w:rFonts w:ascii="Gentium Basic" w:cs="Gentium Basic" w:eastAsia="Gentium Basic" w:hAnsi="Gentium Bas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1"/>
        <w:tabs>
          <w:tab w:val="right" w:leader="none" w:pos="8640"/>
        </w:tabs>
        <w:rPr>
          <w:rFonts w:ascii="Gentium Basic" w:cs="Gentium Basic" w:eastAsia="Gentium Basic" w:hAnsi="Gentium Basic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rtl w:val="0"/>
        </w:rPr>
        <w:t xml:space="preserve">Participant/Jeunes en action</w:t>
        <w:tab/>
        <w:t xml:space="preserve">2013-2014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1"/>
        <w:ind w:left="180" w:firstLine="0"/>
        <w:rPr>
          <w:rFonts w:ascii="Gentium Basic" w:cs="Gentium Basic" w:eastAsia="Gentium Basic" w:hAnsi="Gentium Basic"/>
          <w:i w:val="1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Carrefour jeunesse-emploi de Sherbrooke, </w:t>
      </w:r>
      <w:r w:rsidDel="00000000" w:rsidR="00000000" w:rsidRPr="00000000">
        <w:rPr>
          <w:rFonts w:ascii="Gentium Basic" w:cs="Gentium Basic" w:eastAsia="Gentium Basic" w:hAnsi="Gentium Basic"/>
          <w:i w:val="1"/>
          <w:rtl w:val="0"/>
        </w:rPr>
        <w:t xml:space="preserve">Sherbrooke</w:t>
      </w:r>
    </w:p>
    <w:p w:rsidR="00000000" w:rsidDel="00000000" w:rsidP="00000000" w:rsidRDefault="00000000" w:rsidRPr="00000000" w14:paraId="00000029">
      <w:pPr>
        <w:pageBreakBefore w:val="0"/>
        <w:widowControl w:val="1"/>
        <w:ind w:left="180" w:firstLine="0"/>
        <w:rPr>
          <w:rFonts w:ascii="Gentium Basic" w:cs="Gentium Basic" w:eastAsia="Gentium Basic" w:hAnsi="Gentium Basic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1"/>
        <w:numPr>
          <w:ilvl w:val="0"/>
          <w:numId w:val="3"/>
        </w:numPr>
        <w:ind w:left="709"/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Effectuer une démarche de connaissance de soi, d’orientation professionnelle, d’employabilité et d’entrepreneuriat</w:t>
      </w:r>
    </w:p>
    <w:p w:rsidR="00000000" w:rsidDel="00000000" w:rsidP="00000000" w:rsidRDefault="00000000" w:rsidRPr="00000000" w14:paraId="0000002B">
      <w:pPr>
        <w:pageBreakBefore w:val="0"/>
        <w:widowControl w:val="1"/>
        <w:numPr>
          <w:ilvl w:val="0"/>
          <w:numId w:val="3"/>
        </w:numPr>
        <w:ind w:left="709"/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Participer à divers plateaux de travail (Friperie, Ardoise, Radio CFLX)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1"/>
        <w:rPr>
          <w:rFonts w:ascii="Gentium Basic" w:cs="Gentium Basic" w:eastAsia="Gentium Basic" w:hAnsi="Gentium Bas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1"/>
        <w:rPr>
          <w:rFonts w:ascii="Gentium Basic" w:cs="Gentium Basic" w:eastAsia="Gentium Basic" w:hAnsi="Gentium Bas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1"/>
        <w:pBdr>
          <w:bottom w:color="000000" w:space="0" w:sz="4" w:val="single"/>
        </w:pBdr>
        <w:rPr>
          <w:rFonts w:ascii="Gentium Basic" w:cs="Gentium Basic" w:eastAsia="Gentium Basic" w:hAnsi="Gentium Bas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1"/>
        <w:pBdr>
          <w:bottom w:color="000000" w:space="0" w:sz="4" w:val="single"/>
        </w:pBdr>
        <w:rPr>
          <w:rFonts w:ascii="ITC Zapf Chancery" w:cs="ITC Zapf Chancery" w:eastAsia="ITC Zapf Chancery" w:hAnsi="ITC Zapf Chancery"/>
          <w:b w:val="1"/>
          <w:sz w:val="36"/>
          <w:szCs w:val="36"/>
        </w:rPr>
      </w:pPr>
      <w:r w:rsidDel="00000000" w:rsidR="00000000" w:rsidRPr="00000000">
        <w:rPr>
          <w:rFonts w:ascii="ITC Zapf Chancery" w:cs="ITC Zapf Chancery" w:eastAsia="ITC Zapf Chancery" w:hAnsi="ITC Zapf Chancery"/>
          <w:b w:val="1"/>
          <w:sz w:val="36"/>
          <w:szCs w:val="36"/>
          <w:rtl w:val="0"/>
        </w:rPr>
        <w:t xml:space="preserve">Expérience de travail (suite)</w:t>
      </w:r>
    </w:p>
    <w:p w:rsidR="00000000" w:rsidDel="00000000" w:rsidP="00000000" w:rsidRDefault="00000000" w:rsidRPr="00000000" w14:paraId="00000030">
      <w:pPr>
        <w:pageBreakBefore w:val="0"/>
        <w:widowControl w:val="1"/>
        <w:rPr>
          <w:rFonts w:ascii="Gentium Basic" w:cs="Gentium Basic" w:eastAsia="Gentium Basic" w:hAnsi="Gentium Bas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Maintenance générale</w:t>
        <w:tab/>
        <w:t xml:space="preserve">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Gentium Basic" w:cs="Gentium Basic" w:eastAsia="Gentium Basic" w:hAnsi="Gentium Basic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 des Saults, </w:t>
      </w:r>
      <w:r w:rsidDel="00000000" w:rsidR="00000000" w:rsidRPr="00000000">
        <w:rPr>
          <w:rFonts w:ascii="Gentium Basic" w:cs="Gentium Basic" w:eastAsia="Gentium Basic" w:hAnsi="Gentium Basic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Ste-Brigitte-des-Saults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Gentium Basic" w:cs="Gentium Basic" w:eastAsia="Gentium Basic" w:hAnsi="Gentium Basic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Enlever de la vieille peinture sur des roues à l’aide d’outils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Repeindre les roues et/ou wagons de transports au pinceau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Balayer les planchers de travail et vider les poubelles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Passer la </w:t>
      </w: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débroussailleuse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Aider les mécaniciens pour des tâches simples</w:t>
      </w:r>
    </w:p>
    <w:p w:rsidR="00000000" w:rsidDel="00000000" w:rsidP="00000000" w:rsidRDefault="00000000" w:rsidRPr="00000000" w14:paraId="0000003B">
      <w:pPr>
        <w:pageBreakBefore w:val="0"/>
        <w:rPr/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709" w:top="1276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  <w:sectPr>
          <w:type w:val="continuous"/>
          <w:pgSz w:h="15840" w:w="12240" w:orient="portrait"/>
          <w:pgMar w:bottom="709" w:top="1276" w:left="1440" w:right="1440" w:header="0" w:footer="720"/>
        </w:sectPr>
      </w:pPr>
      <w:r w:rsidDel="00000000" w:rsidR="00000000" w:rsidRPr="00000000">
        <w:rPr>
          <w:rFonts w:ascii="ITC Zapf Chancery" w:cs="ITC Zapf Chancery" w:eastAsia="ITC Zapf Chancery" w:hAnsi="ITC Zapf Chancery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Aptitudes professionnelle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Gentium Basic" w:cs="Gentium Basic" w:eastAsia="Gentium Basic" w:hAnsi="Gentium Basic"/>
        </w:rPr>
        <w:sectPr>
          <w:type w:val="continuous"/>
          <w:pgSz w:h="15840" w:w="12240" w:orient="portrait"/>
          <w:pgMar w:bottom="709" w:top="1276" w:left="1440" w:right="1440" w:header="0" w:footer="720"/>
          <w:cols w:equalWidth="0" w:num="2">
            <w:col w:space="432" w:w="4464"/>
            <w:col w:space="0" w:w="446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Gentium Basic" w:cs="Gentium Basic" w:eastAsia="Gentium Basic" w:hAnsi="Gentium Basic"/>
        </w:rPr>
        <w:sectPr>
          <w:type w:val="continuous"/>
          <w:pgSz w:h="15840" w:w="12240" w:orient="portrait"/>
          <w:pgMar w:bottom="709" w:top="1276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1"/>
        <w:numPr>
          <w:ilvl w:val="0"/>
          <w:numId w:val="1"/>
        </w:numPr>
        <w:spacing w:line="240" w:lineRule="auto"/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Persévérant et déterminé</w:t>
        <w:tab/>
        <w:tab/>
      </w:r>
    </w:p>
    <w:p w:rsidR="00000000" w:rsidDel="00000000" w:rsidP="00000000" w:rsidRDefault="00000000" w:rsidRPr="00000000" w14:paraId="00000041">
      <w:pPr>
        <w:pageBreakBefore w:val="0"/>
        <w:widowControl w:val="1"/>
        <w:numPr>
          <w:ilvl w:val="0"/>
          <w:numId w:val="1"/>
        </w:numPr>
        <w:rPr>
          <w:rFonts w:ascii="Gentium Basic" w:cs="Gentium Basic" w:eastAsia="Gentium Basic" w:hAnsi="Gentium Basic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Patient et observateur</w:t>
      </w:r>
    </w:p>
    <w:p w:rsidR="00000000" w:rsidDel="00000000" w:rsidP="00000000" w:rsidRDefault="00000000" w:rsidRPr="00000000" w14:paraId="00000042">
      <w:pPr>
        <w:pageBreakBefore w:val="0"/>
        <w:widowControl w:val="1"/>
        <w:numPr>
          <w:ilvl w:val="0"/>
          <w:numId w:val="1"/>
        </w:numPr>
        <w:spacing w:line="240" w:lineRule="auto"/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Adaptatif</w:t>
      </w:r>
    </w:p>
    <w:p w:rsidR="00000000" w:rsidDel="00000000" w:rsidP="00000000" w:rsidRDefault="00000000" w:rsidRPr="00000000" w14:paraId="00000043">
      <w:pPr>
        <w:pageBreakBefore w:val="0"/>
        <w:widowControl w:val="1"/>
        <w:numPr>
          <w:ilvl w:val="0"/>
          <w:numId w:val="1"/>
        </w:numPr>
        <w:rPr>
          <w:rFonts w:ascii="Gentium Basic" w:cs="Gentium Basic" w:eastAsia="Gentium Basic" w:hAnsi="Gentium Basic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Poli et courtois</w:t>
      </w:r>
    </w:p>
    <w:p w:rsidR="00000000" w:rsidDel="00000000" w:rsidP="00000000" w:rsidRDefault="00000000" w:rsidRPr="00000000" w14:paraId="00000044">
      <w:pPr>
        <w:pageBreakBefore w:val="0"/>
        <w:widowControl w:val="1"/>
        <w:numPr>
          <w:ilvl w:val="0"/>
          <w:numId w:val="1"/>
        </w:numPr>
        <w:rPr>
          <w:rFonts w:ascii="Gentium Basic" w:cs="Gentium Basic" w:eastAsia="Gentium Basic" w:hAnsi="Gentium Basic"/>
          <w:u w:val="none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Ouvert d’esprit</w:t>
      </w:r>
    </w:p>
    <w:p w:rsidR="00000000" w:rsidDel="00000000" w:rsidP="00000000" w:rsidRDefault="00000000" w:rsidRPr="00000000" w14:paraId="00000045">
      <w:pPr>
        <w:pageBreakBefore w:val="0"/>
        <w:widowControl w:val="1"/>
        <w:numPr>
          <w:ilvl w:val="0"/>
          <w:numId w:val="1"/>
        </w:numPr>
        <w:rPr>
          <w:rFonts w:ascii="Gentium Basic" w:cs="Gentium Basic" w:eastAsia="Gentium Basic" w:hAnsi="Gentium Basic"/>
          <w:u w:val="none"/>
        </w:rPr>
      </w:pPr>
      <w:r w:rsidDel="00000000" w:rsidR="00000000" w:rsidRPr="00000000">
        <w:rPr>
          <w:rFonts w:ascii="Gentium Basic" w:cs="Gentium Basic" w:eastAsia="Gentium Basic" w:hAnsi="Gentium Basic"/>
          <w:rtl w:val="0"/>
        </w:rPr>
        <w:t xml:space="preserve">Minutieux et perfectionniste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09" w:top="1276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ITC Zapf Chancery"/>
  <w:font w:name="Gentium Bas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ageBreakBefore w:val="0"/>
      <w:tabs>
        <w:tab w:val="left" w:leader="none" w:pos="3930"/>
      </w:tabs>
      <w:jc w:val="right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Des références vous seront transmises sur demande.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entium Basic" w:cs="Gentium Basic" w:eastAsia="Gentium Basic" w:hAnsi="Gentium Bas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ntium Basic" w:cs="Gentium Basic" w:eastAsia="Gentium Basic" w:hAnsi="Gentium Bas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Disponible pour le jour, fin de semaine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13" w:before="0" w:line="240" w:lineRule="auto"/>
      <w:ind w:left="0" w:right="0" w:firstLine="0"/>
      <w:jc w:val="right"/>
      <w:rPr>
        <w:rFonts w:ascii="Gentium Basic" w:cs="Gentium Basic" w:eastAsia="Gentium Basic" w:hAnsi="Gentium Bas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ntium Basic" w:cs="Gentium Basic" w:eastAsia="Gentium Basic" w:hAnsi="Gentium Bas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Temps Plein / 40h semaine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67" w:line="240" w:lineRule="auto"/>
      <w:ind w:left="0" w:right="0" w:firstLine="0"/>
      <w:jc w:val="both"/>
      <w:rPr>
        <w:rFonts w:ascii="Gentium Basic" w:cs="Gentium Basic" w:eastAsia="Gentium Basic" w:hAnsi="Gentium Basic"/>
        <w:b w:val="0"/>
        <w:i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</w:rPr>
    </w:pPr>
    <w:r w:rsidDel="00000000" w:rsidR="00000000" w:rsidRPr="00000000">
      <w:rPr>
        <w:rFonts w:ascii="ITC Zapf Chancery" w:cs="ITC Zapf Chancery" w:eastAsia="ITC Zapf Chancery" w:hAnsi="ITC Zapf Chancery"/>
        <w:b w:val="1"/>
        <w:i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  <w:rtl w:val="0"/>
      </w:rPr>
      <w:t xml:space="preserve">Rock Boisjoli</w:t>
    </w:r>
    <w:r w:rsidDel="00000000" w:rsidR="00000000" w:rsidRPr="00000000">
      <w:rPr>
        <w:rFonts w:ascii="Gentium Basic" w:cs="Gentium Basic" w:eastAsia="Gentium Basic" w:hAnsi="Gentium Basic"/>
        <w:b w:val="0"/>
        <w:i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  <w:rtl w:val="0"/>
      </w:rPr>
      <w:tab/>
      <w:tab/>
      <w:tab/>
      <w:tab/>
      <w:tab/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right"/>
      <w:rPr>
        <w:rFonts w:ascii="Gentium Basic" w:cs="Gentium Basic" w:eastAsia="Gentium Basic" w:hAnsi="Gentium Basic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entium Basic" w:cs="Gentium Basic" w:eastAsia="Gentium Basic" w:hAnsi="Gentium Basic"/>
        <w:b w:val="1"/>
        <w:rtl w:val="0"/>
      </w:rPr>
      <w:t xml:space="preserve">2080, rue Gauthier, Apt. 206</w:t>
    </w:r>
    <w:r w:rsidDel="00000000" w:rsidR="00000000" w:rsidRPr="00000000">
      <w:rPr>
        <w:rFonts w:ascii="Gentium Basic" w:cs="Gentium Basic" w:eastAsia="Gentium Basic" w:hAnsi="Gentium Basic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Sherbrooke (Québec) J1</w:t>
    </w:r>
    <w:r w:rsidDel="00000000" w:rsidR="00000000" w:rsidRPr="00000000">
      <w:rPr>
        <w:rFonts w:ascii="Gentium Basic" w:cs="Gentium Basic" w:eastAsia="Gentium Basic" w:hAnsi="Gentium Basic"/>
        <w:b w:val="1"/>
        <w:rtl w:val="0"/>
      </w:rPr>
      <w:t xml:space="preserve">H 6A5</w:t>
    </w:r>
    <w:r w:rsidDel="00000000" w:rsidR="00000000" w:rsidRPr="00000000">
      <w:rPr>
        <w:rFonts w:ascii="Gentium Basic" w:cs="Gentium Basic" w:eastAsia="Gentium Basic" w:hAnsi="Gentium Basic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  <w:hyperlink r:id="rId1">
      <w:r w:rsidDel="00000000" w:rsidR="00000000" w:rsidRPr="00000000">
        <w:rPr>
          <w:rFonts w:ascii="Gentium Basic" w:cs="Gentium Basic" w:eastAsia="Gentium Basic" w:hAnsi="Gentium Basic"/>
          <w:b w:val="1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rock.boisjoli@gmail.com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right"/>
      <w:rPr>
        <w:rFonts w:ascii="Gentium Basic" w:cs="Gentium Basic" w:eastAsia="Gentium Basic" w:hAnsi="Gentium Basic"/>
        <w:b w:val="1"/>
      </w:rPr>
    </w:pPr>
    <w:r w:rsidDel="00000000" w:rsidR="00000000" w:rsidRPr="00000000">
      <w:rPr>
        <w:rFonts w:ascii="Gentium Basic" w:cs="Gentium Basic" w:eastAsia="Gentium Basic" w:hAnsi="Gentium Basic"/>
        <w:b w:val="1"/>
        <w:rtl w:val="0"/>
      </w:rPr>
      <w:t xml:space="preserve">Cellulaire: 873-200-5901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entium Basic" w:cs="Gentium Basic" w:eastAsia="Gentium Basic" w:hAnsi="Gentium Basic"/>
        <w:b w:val="1"/>
        <w:i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Gentium Basic" w:cs="Gentium Basic" w:eastAsia="Gentium Basic" w:hAnsi="Gentium Bas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Gentium Basic" w:cs="Gentium Basic" w:eastAsia="Gentium Basic" w:hAnsi="Gentium Basic"/>
        <w:b w:val="1"/>
        <w:i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Bilingue français/anglais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❖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❖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C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rock.boisjo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